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w:t>
        <w:t xml:space="preserve">.  </w:t>
      </w:r>
      <w:r>
        <w:rPr>
          <w:b/>
        </w:rPr>
        <w:t xml:space="preserve">Acceptance of completed forms</w:t>
      </w:r>
    </w:p>
    <w:p>
      <w:pPr>
        <w:jc w:val="both"/>
        <w:spacing w:before="100" w:after="100"/>
        <w:ind w:start="360"/>
        <w:ind w:firstLine="360"/>
      </w:pPr>
      <w:r>
        <w:rPr/>
      </w:r>
      <w:r>
        <w:rPr/>
      </w:r>
      <w:r>
        <w:t xml:space="preserve">The commission shall accept, at all times prior to the election, completed code forms that are properly subscribed to by a candidate.</w:t>
      </w:r>
      <w:r>
        <w:t xml:space="preserve">  </w:t>
      </w:r>
      <w:r xmlns:wp="http://schemas.openxmlformats.org/drawingml/2010/wordprocessingDrawing" xmlns:w15="http://schemas.microsoft.com/office/word/2012/wordml">
        <w:rPr>
          <w:rFonts w:ascii="Arial" w:hAnsi="Arial" w:cs="Arial"/>
          <w:sz w:val="22"/>
          <w:szCs w:val="22"/>
        </w:rPr>
        <w:t xml:space="preserve">[PL 1989, c. 802,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802,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 Acceptance of completed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 Acceptance of completed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§1103. ACCEPTANCE OF COMPLETED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