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w:t>
        <w:t xml:space="preserve">.  </w:t>
      </w:r>
      <w:r>
        <w:rPr>
          <w:b/>
        </w:rPr>
        <w:t xml:space="preserve">Special elections</w:t>
      </w:r>
    </w:p>
    <w:p>
      <w:pPr>
        <w:jc w:val="both"/>
        <w:spacing w:before="100" w:after="100"/>
        <w:ind w:start="360"/>
        <w:ind w:firstLine="360"/>
      </w:pPr>
      <w:r>
        <w:rPr/>
      </w:r>
      <w:r>
        <w:rPr/>
      </w:r>
      <w:r>
        <w:t xml:space="preserve">The proclamation of a special election must specify the time and place it must be held as well as any necessary filing, posting, publishing and reporting dates.  A special election must be publicized and conducted like its regular counterpart, as nearly as practicable.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§366. Special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 Special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§366. SPECIAL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