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§503-A. Election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Election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§503-A. ELECTION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