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842</w:t>
        <w:t xml:space="preserve">.  </w:t>
      </w:r>
      <w:r>
        <w:rPr>
          <w:b/>
        </w:rPr>
        <w:t xml:space="preserve">Obtaining and using</w:t>
      </w:r>
    </w:p>
    <w:p>
      <w:pPr>
        <w:jc w:val="both"/>
        <w:spacing w:before="100" w:after="100"/>
        <w:ind w:start="360"/>
        <w:ind w:firstLine="360"/>
      </w:pPr>
      <w:r>
        <w:rPr/>
      </w:r>
      <w:r>
        <w:rPr/>
      </w:r>
      <w:r>
        <w:t xml:space="preserve">A municipality may obtain and use electronic tabulating systems according to the following provisions.</w:t>
      </w:r>
      <w:r>
        <w:t xml:space="preserve">  </w:t>
      </w:r>
      <w:r xmlns:wp="http://schemas.openxmlformats.org/drawingml/2010/wordprocessingDrawing" xmlns:w15="http://schemas.microsoft.com/office/word/2012/wordml">
        <w:rPr>
          <w:rFonts w:ascii="Arial" w:hAnsi="Arial" w:cs="Arial"/>
          <w:sz w:val="22"/>
          <w:szCs w:val="22"/>
        </w:rPr>
        <w:t xml:space="preserve">[PL 1995, c. 459, §93 (AMD).]</w:t>
      </w:r>
    </w:p>
    <w:p>
      <w:pPr>
        <w:jc w:val="both"/>
        <w:spacing w:before="100" w:after="0"/>
        <w:ind w:start="360"/>
        <w:ind w:firstLine="360"/>
      </w:pPr>
      <w:r>
        <w:rPr>
          <w:b/>
        </w:rPr>
        <w:t>1</w:t>
        <w:t xml:space="preserve">.  </w:t>
      </w:r>
      <w:r>
        <w:rPr>
          <w:b/>
        </w:rPr>
        <w:t xml:space="preserve">Purchased or rented.</w:t>
        <w:t xml:space="preserve"> </w:t>
      </w:r>
      <w:r>
        <w:t xml:space="preserve"> </w:t>
      </w:r>
      <w:r>
        <w:t xml:space="preserve">The municipality may either purchase or rent voting devices.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2</w:t>
        <w:t xml:space="preserve">.  </w:t>
      </w:r>
      <w:r>
        <w:rPr>
          <w:b/>
        </w:rPr>
        <w:t xml:space="preserve">Use authorized.</w:t>
        <w:t xml:space="preserve"> </w:t>
      </w:r>
      <w:r>
        <w:t xml:space="preserve"> </w:t>
      </w:r>
      <w:r>
        <w:t xml:space="preserve">The voting devices may be used at each type of election authorized by the legislative body of the municipality. Once authorization has been given for use of the devices at any type of election, that authorization continues until specifically revoked by the legislative body.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3</w:t>
        <w:t xml:space="preserve">.  </w:t>
      </w:r>
      <w:r>
        <w:rPr>
          <w:b/>
        </w:rPr>
        <w:t xml:space="preserve">Use in one or more districts.</w:t>
        <w:t xml:space="preserve"> </w:t>
      </w:r>
      <w:r>
        <w:t xml:space="preserve"> </w:t>
      </w:r>
      <w:r>
        <w:t xml:space="preserve">A municipality which has more than one voting district may use voting devices in one or more of the districts as determined by its legislative body.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100"/>
        <w:ind w:start="360"/>
        <w:ind w:firstLine="360"/>
      </w:pPr>
      <w:r>
        <w:rPr>
          <w:b/>
        </w:rPr>
        <w:t>4</w:t>
        <w:t xml:space="preserve">.  </w:t>
      </w:r>
      <w:r>
        <w:rPr>
          <w:b/>
        </w:rPr>
        <w:t xml:space="preserve">Provided by municipality.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459, §94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1995, c. 459, §§93,94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§842. Obtaining and using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§842. Obtaining and using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§842. OBTAINING AND USING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