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1623</w:t>
      </w:r>
    </w:p>
    <w:p>
      <w:pPr>
        <w:jc w:val="center"/>
        <w:ind w:start="360"/>
        <w:spacing w:before="300" w:after="300"/>
      </w:pPr>
      <w:r>
        <w:rPr>
          <w:b/>
        </w:rPr>
        <w:t xml:space="preserve">IN-HOME AND COMMUNITY SUPPORT SERVICES FOR THE ELDERLY AND OTHER ADULTS AT RISK OF INAPPROPRIATE PLACEMENT IN INSTITUTIONAL SETTINGS</w:t>
      </w:r>
    </w:p>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1623. IN-HOME AND COMMUNITY SUPPORT SERVICES FOR THE ELDERLY AND OTHER ADULTS AT RISK OF INAPPROPRIATE PLACEMENT IN INSTITUTIONAL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