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255-A</w:t>
      </w:r>
    </w:p>
    <w:p>
      <w:pPr>
        <w:jc w:val="center"/>
        <w:ind w:start="360"/>
        <w:spacing w:before="300" w:after="300"/>
      </w:pPr>
      <w:r>
        <w:rPr>
          <w:b/>
        </w:rPr>
        <w:t xml:space="preserve">AMYOTROPHIC LATERAL SCLEROSIS</w:t>
      </w:r>
    </w:p>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1415</w:t>
        <w:t xml:space="preserve">.  </w:t>
      </w:r>
      <w:r>
        <w:rPr>
          <w:b/>
        </w:rPr>
        <w:t xml:space="preserve">Rules</w:t>
      </w:r>
    </w:p>
    <w:p>
      <w:pPr>
        <w:jc w:val="both"/>
        <w:spacing w:before="100" w:after="100"/>
        <w:ind w:start="360"/>
        <w:ind w:firstLine="360"/>
      </w:pPr>
      <w:r>
        <w:rPr/>
      </w:r>
      <w:r>
        <w:rPr/>
      </w:r>
      <w:r>
        <w:t xml:space="preserve">The department shall adopt rules to implement this chapter, including, but not limited to, rules governing the operation of the registry, reporting to the registry and data release protocols.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255-A. AMYOTROPHIC LATERAL SCLEROSIS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