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1716</w:t>
        <w:t xml:space="preserve">.  </w:t>
      </w:r>
      <w:r>
        <w:rPr>
          <w:b/>
        </w:rPr>
        <w:t xml:space="preserve">Charity care guidelines</w:t>
      </w:r>
    </w:p>
    <w:p>
      <w:pPr>
        <w:jc w:val="both"/>
        <w:spacing w:before="100" w:after="100"/>
        <w:ind w:start="1080" w:hanging="720"/>
      </w:pPr>
      <w:r>
        <w:rPr>
          <w:b/>
        </w:rPr>
        <w:t>(CONTAINS TEXT WITH VARYING EFFECTIVE DATES)</w:t>
      </w:r>
    </w:p>
    <w:p>
      <w:pPr>
        <w:jc w:val="both"/>
        <w:spacing w:before="100" w:after="100"/>
        <w:ind w:start="360"/>
      </w:pPr>
      <w:r>
        <w:rPr>
          <w:b/>
        </w:rPr>
        <w:t>(WHOLE SECTION TEXT REPEALED 7/01/26 by PL 2025, c. 488, §§2, 8)</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653, §B7 (NEW). PL 1995, c. 653, §B8 (AFF). PL 1995, c. 696, §A36 (NEW). PL 2025, c. 488, §2 (RP). PL 2025, c. 488,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§1716. Charity care guidelines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§1716. Charity care guidelines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§1716. CHARITY CARE GUIDELINES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