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1812-K</w:t>
        <w:t xml:space="preserve">.  </w:t>
      </w:r>
      <w:r>
        <w:rPr>
          <w:b/>
        </w:rPr>
        <w:t xml:space="preserve">Intermediate care facility for persons with intellectual disabilities</w:t>
      </w:r>
    </w:p>
    <w:p>
      <w:pPr>
        <w:jc w:val="both"/>
        <w:spacing w:before="100" w:after="0"/>
        <w:ind w:start="360"/>
        <w:ind w:firstLine="360"/>
      </w:pPr>
      <w:r>
        <w:rPr>
          <w:b/>
        </w:rPr>
        <w:t>1</w:t>
        <w:t xml:space="preserve">.  </w:t>
      </w:r>
      <w:r>
        <w:rPr>
          <w:b/>
        </w:rPr>
        <w:t xml:space="preserve">Survey.</w:t>
        <w:t xml:space="preserve"> </w:t>
      </w:r>
      <w:r>
        <w:t xml:space="preserve"> </w:t>
      </w:r>
      <w:r>
        <w:t xml:space="preserve">A state survey agency shall conduct a survey of each intermediate care facility for persons with intellectual disabilities not later than 15 months after the last day of the previous survey.  The statewide average interval between surveys must be 12 months or less.  The statewide average interval is computed at the end of each federal fiscal year by comparing the last day of the most recent survey for each participating facility to the last day of each facility’s previous survey.  As used in this section, "state survey agency" means the agency specified in 42 United States Code, Sections 1395aa and 1396 responsible for determining whether institutions and agencies meet requirements for participation in the State's Medicare and Medicaid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necessary to license intermediate care facilities for persons with intellectual disabilities in accordance with the Maine Administrative Procedure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 PL 2013, c. 588,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§1812-K. Intermediate care facility for persons with intellectual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§1812-K. Intermediate care facility for persons with intellectual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§1812-K. INTERMEDIATE CARE FACILITY FOR PERSONS WITH INTELLECTUAL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