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w:t>
        <w:t xml:space="preserve">.  </w:t>
      </w:r>
      <w:r>
        <w:rPr>
          <w:b/>
        </w:rPr>
        <w:t xml:space="preserve">Pharmaceutical services in nursing homes</w:t>
      </w:r>
    </w:p>
    <w:p>
      <w:pPr>
        <w:jc w:val="both"/>
        <w:spacing w:before="100" w:after="0"/>
        <w:ind w:start="360"/>
        <w:ind w:firstLine="360"/>
      </w:pPr>
      <w:r>
        <w:rPr>
          <w:b/>
        </w:rPr>
        <w:t>1</w:t>
        <w:t xml:space="preserve">.  </w:t>
      </w:r>
      <w:r>
        <w:rPr>
          <w:b/>
        </w:rPr>
        <w:t xml:space="preserve">Notice.</w:t>
        <w:t xml:space="preserve"> </w:t>
      </w:r>
      <w:r>
        <w:t xml:space="preserve"> </w:t>
      </w:r>
      <w:r>
        <w:t xml:space="preserve">Each nursing home shall post a notice in a place within the nursing home where notices for residents are ordinarily posted stating that each resident has the right to obtain medication from a pharmacy of the resident's choice as provided in </w:t>
      </w:r>
      <w:r>
        <w:t>section 1826,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§A18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§1830. Pharmaceutical services in nursing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 Pharmaceutical services in nursing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§1830. PHARMACEUTICAL SERVICES IN NURSING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