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Parental option</w:t>
      </w:r>
    </w:p>
    <w:p>
      <w:pPr>
        <w:jc w:val="both"/>
        <w:spacing w:before="100" w:after="100"/>
        <w:ind w:start="360"/>
        <w:ind w:firstLine="360"/>
      </w:pPr>
      <w:r>
        <w:rPr/>
      </w:r>
      <w:r>
        <w:rPr/>
      </w:r>
      <w:r>
        <w:t xml:space="preserve">To the extent that comprehensive family life education takes place in a school, a parent may choose to not have that parent's child participate in a comprehensive family life education program.</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Parental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Parental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§1911. PARENTAL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