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2620-C</w:t>
        <w:t xml:space="preserve">.  </w:t>
      </w:r>
      <w:r>
        <w:rPr>
          <w:b/>
        </w:rPr>
        <w:t xml:space="preserve">Rules</w:t>
      </w:r>
    </w:p>
    <w:p>
      <w:pPr>
        <w:jc w:val="both"/>
        <w:spacing w:before="100" w:after="100"/>
        <w:ind w:start="360"/>
        <w:ind w:firstLine="360"/>
      </w:pPr>
      <w:r>
        <w:rPr/>
      </w:r>
      <w:r>
        <w:rPr/>
      </w:r>
      <w:r>
        <w:t xml:space="preserve">The commissioner shall adopt rules establishing procedures regarding notice and the issuance, amendment and withdrawal of administrative compliance orders and administrative consent orders.</w:t>
      </w:r>
      <w:r>
        <w:t xml:space="preserve">  </w:t>
      </w:r>
      <w:r xmlns:wp="http://schemas.openxmlformats.org/drawingml/2010/wordprocessingDrawing" xmlns:w15="http://schemas.microsoft.com/office/word/2012/wordml">
        <w:rPr>
          <w:rFonts w:ascii="Arial" w:hAnsi="Arial" w:cs="Arial"/>
          <w:sz w:val="22"/>
          <w:szCs w:val="22"/>
        </w:rPr>
        <w:t xml:space="preserve">[PL 1993, c. 678, §4 (NEW).]</w:t>
      </w:r>
    </w:p>
    <w:p>
      <w:pPr>
        <w:jc w:val="both"/>
        <w:spacing w:before="100" w:after="100"/>
        <w:ind w:start="360"/>
        <w:ind w:firstLine="360"/>
      </w:pPr>
      <w:r>
        <w:rPr/>
      </w:r>
      <w:r>
        <w:rPr/>
      </w:r>
      <w:r>
        <w:t xml:space="preserve">The commissioner may adopt rules establishing a permitting process for public water systems.  Rules adopted pursuant to this paragraph are major substantive rules as defined in </w:t>
      </w:r>
      <w:r>
        <w:t>Title 5, chapter 375, subchapter II‑A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705,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678, §4 (NEW). PL 1997, c. 705, §10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§2620-C.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§2620-C.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§2620-C.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