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2</w:t>
        <w:t xml:space="preserve">.  </w:t>
      </w:r>
      <w:r>
        <w:rPr>
          <w:b/>
        </w:rPr>
        <w:t xml:space="preserve">Advisory council.</w:t>
        <w:t xml:space="preserve"> </w:t>
      </w:r>
      <w:r>
        <w:t xml:space="preserve"> </w:t>
      </w:r>
      <w:r>
        <w:t xml:space="preserve">"Advisory council" means the Tobacco Prevention and Control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Tobacco Prevention and Control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0"/>
        <w:ind w:start="360"/>
        <w:ind w:firstLine="360"/>
      </w:pPr>
      <w:r>
        <w:rPr>
          <w:b/>
        </w:rPr>
        <w:t>4</w:t>
        <w:t xml:space="preserve">.  </w:t>
      </w:r>
      <w:r>
        <w:rPr>
          <w:b/>
        </w:rPr>
        <w:t xml:space="preserve">Tobacco products.</w:t>
        <w:t xml:space="preserve"> </w:t>
      </w:r>
      <w:r>
        <w:t xml:space="preserve"> </w:t>
      </w:r>
      <w:r>
        <w:t xml:space="preserve">"Tobacco products" means any form of tobacco and any material or device used in the smoking, chewing or other form of tobacco consumption, including cigarette papers and pipes.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