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3184</w:t>
        <w:t xml:space="preserve">.  </w:t>
      </w:r>
      <w:r>
        <w:rPr>
          <w:b/>
        </w:rPr>
        <w:t xml:space="preserve">Recovery of illegal payments</w:t>
      </w:r>
    </w:p>
    <w:p>
      <w:pPr>
        <w:jc w:val="both"/>
        <w:spacing w:before="100" w:after="100"/>
        <w:ind w:start="360"/>
        <w:ind w:firstLine="360"/>
      </w:pPr>
      <w:r>
        <w:rPr/>
      </w:r>
      <w:r>
        <w:rPr/>
      </w:r>
      <w:r>
        <w:t xml:space="preserve">The department may recover the amount expended for aid in a civil action from a recipient or a former recipient who has failed to disclose assets that would have rendered the recipient or former recipient ineligible had the recipient or former recipient disclosed the assets. Such actions must be prosecuted by the Attorney General in the name of the State of Maine, and the amount recovered must be credited to the account for aid, medical or remedial care and services for the medically indigent.</w:t>
      </w:r>
      <w:r>
        <w:t xml:space="preserve">  </w:t>
      </w:r>
      <w:r xmlns:wp="http://schemas.openxmlformats.org/drawingml/2010/wordprocessingDrawing" xmlns:w15="http://schemas.microsoft.com/office/word/2012/wordml">
        <w:rPr>
          <w:rFonts w:ascii="Arial" w:hAnsi="Arial" w:cs="Arial"/>
          <w:sz w:val="22"/>
          <w:szCs w:val="22"/>
        </w:rPr>
        <w:t xml:space="preserve">[RR 2021, c. 2,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§3184. RECOVERY OF ILLEGAL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