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3815</w:t>
        <w:t xml:space="preserve">.  </w:t>
      </w:r>
      <w:r>
        <w:rPr>
          <w:b/>
        </w:rPr>
        <w:t xml:space="preserve">Exempt property</w:t>
      </w:r>
    </w:p>
    <w:p>
      <w:pPr>
        <w:jc w:val="both"/>
        <w:spacing w:before="100" w:after="100"/>
        <w:ind w:start="360"/>
        <w:ind w:firstLine="360"/>
      </w:pPr>
      <w:r>
        <w:rPr/>
      </w:r>
      <w:r>
        <w:rPr/>
      </w:r>
      <w:r>
        <w:t xml:space="preserve">An obligor's weekly income equal to 30 times the federal minimum wage as prescribed by the United States Code, Title 29, Section 206(a)(1), is exempt from collection by income withholding.  Property otherwise exempt from trustee process, attachment and execution is exempt from collection by lien and foreclosure.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§3815. Exempt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§3815. Exempt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§3815. EXEMPT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