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679</w:t>
        <w:t xml:space="preserve">.  </w:t>
      </w:r>
      <w:r>
        <w:rPr>
          <w:b/>
        </w:rPr>
        <w:t xml:space="preserve">Low-level radioactive waste disposal</w:t>
      </w:r>
    </w:p>
    <w:p>
      <w:pPr>
        <w:jc w:val="both"/>
        <w:spacing w:before="100" w:after="100"/>
        <w:ind w:start="360"/>
        <w:ind w:firstLine="360"/>
      </w:pPr>
      <w:r>
        <w:rPr/>
      </w:r>
      <w:r>
        <w:rPr/>
      </w:r>
      <w:r>
        <w:t xml:space="preserve">State regulation of low-level radioactive waste disposal is subject to the primary jurisdiction of the Department of Health and Human Services, as specified in </w:t>
      </w:r>
      <w:r>
        <w:t>section 676</w:t>
      </w:r>
      <w:r>
        <w:t xml:space="preserve">, except that disposal of low-level radioactive waste in the State is also subject to regulation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1993, c. 664, §9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PL 1993, c. 664, §9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§679. Low-level radioactive waste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§679. Low-level radioactive waste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§679. LOW-LEVEL RADIOACTIVE WASTE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