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8613</w:t>
        <w:t xml:space="preserve">.  </w:t>
      </w:r>
      <w:r>
        <w:rPr>
          <w:b/>
        </w:rPr>
        <w:t xml:space="preserve">Meetings</w:t>
      </w:r>
    </w:p>
    <w:p>
      <w:pPr>
        <w:jc w:val="both"/>
        <w:spacing w:before="100" w:after="100"/>
        <w:ind w:start="360"/>
        <w:ind w:firstLine="360"/>
      </w:pPr>
      <w:r>
        <w:rPr/>
      </w:r>
      <w:r>
        <w:rPr/>
      </w:r>
      <w:r>
        <w:t xml:space="preserve">The council shall meet at least once a year.  Special meetings shall be held as deemed necessary by the council.  The minutes of all proceedings of the council shall be a public record available and on file in the office of the council.  Members of the council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596,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596, §F2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§8613.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§8613.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§8613.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