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Collection procedure</w:t>
      </w:r>
    </w:p>
    <w:p>
      <w:pPr>
        <w:jc w:val="both"/>
        <w:spacing w:before="100" w:after="100"/>
        <w:ind w:start="360"/>
        <w:ind w:firstLine="360"/>
      </w:pPr>
      <w:r>
        <w:rPr/>
      </w:r>
      <w:r>
        <w:rPr/>
      </w:r>
      <w:r>
        <w:t xml:space="preserve">All assessments and charges made under </w:t>
      </w:r>
      <w:r>
        <w:t>sections 3601</w:t>
      </w:r>
      <w:r>
        <w:t xml:space="preserve"> to </w:t>
      </w:r>
      <w:r>
        <w:t>3603</w:t>
      </w:r>
      <w:r>
        <w:t xml:space="preserve">, shall be certified by the municipal officers and filed with the tax collector for collection. If the person assessed, within 30 days after written notice of the amount of such assessments and charges, fails, neglects or refuses to pay said municipality the expense thereby incurred, a special tax in the amount of such assessment and charges may be assessed by the municipal assessors upon each and every lot or parcel of land so assessed and buildings upon the same, and such assessment shall be included in the next annual warrant to the tax collector for collection, and shall be collected in the same manner as state, county and municipal taxes are collected.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§3604. Collection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Collection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§3604. COLLECTION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