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4420</w:t>
        <w:t xml:space="preserve">.  </w:t>
      </w:r>
      <w:r>
        <w:rPr>
          <w:b/>
        </w:rPr>
        <w:t xml:space="preserve">Purpose</w:t>
      </w:r>
    </w:p>
    <w:p>
      <w:pPr>
        <w:jc w:val="both"/>
        <w:spacing w:before="100" w:after="100"/>
        <w:ind w:start="360"/>
        <w:ind w:firstLine="360"/>
      </w:pPr>
      <w:r>
        <w:rPr/>
      </w:r>
      <w:r>
        <w:rPr/>
      </w:r>
      <w:r>
        <w:t xml:space="preserve">The Maine Port Authority, as established by </w:t>
      </w:r>
      <w:r>
        <w:t>Title 5, section 12004‑F, subsection 8</w:t>
      </w:r>
      <w:r>
        <w:t xml:space="preserve">, is a body both corporate and politic in the State established for the general purpose of acquiring, financing, constructing and operating any kind of marine port terminal facility and associated multimodal infrastructure facilities that directly support marine port operations within the State in coordination with the Department of Transportation with all the rights, privileges and powers necessary. Oil pipelines and other oil off-loading facilities are limited to sites in Portland and Searsport harbors.</w:t>
      </w:r>
      <w:r>
        <w:t xml:space="preserve">  </w:t>
      </w:r>
      <w:r xmlns:wp="http://schemas.openxmlformats.org/drawingml/2010/wordprocessingDrawing" xmlns:w15="http://schemas.microsoft.com/office/word/2012/wordml">
        <w:rPr>
          <w:rFonts w:ascii="Arial" w:hAnsi="Arial" w:cs="Arial"/>
          <w:sz w:val="22"/>
          <w:szCs w:val="22"/>
        </w:rPr>
        <w:t xml:space="preserve">[PL 2021, c. 555, §1 (AMD).]</w:t>
      </w:r>
    </w:p>
    <w:p>
      <w:pPr>
        <w:jc w:val="both"/>
        <w:spacing w:before="100" w:after="100"/>
        <w:ind w:start="360"/>
        <w:ind w:firstLine="360"/>
      </w:pPr>
      <w:r>
        <w:rPr/>
      </w:r>
      <w:r>
        <w:rPr/>
      </w:r>
      <w:r>
        <w:t xml:space="preserve">It is declared that the purposes of this chapter are public and that the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1997,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§146 (AMD). PL 1989, c. 503, §B103 (AMD). PL 1993, c. 649, §J1 (AMD). PL 1997, c. 395, §J1 (AMD). PL 1997, c. 643, §AA1 (AMD). PL 1999, c. 753, §4 (AMD). PL 2021,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§4420.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§4420.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