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§5121. Fares and tolls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Fares and tolls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§5121. FARES AND TOLLS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