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5122</w:t>
        <w:t xml:space="preserve">.  </w:t>
      </w:r>
      <w:r>
        <w:rPr>
          <w:b/>
        </w:rPr>
        <w:t xml:space="preserve">Rights of ticket holders</w:t>
      </w:r>
    </w:p>
    <w:p>
      <w:pPr>
        <w:jc w:val="both"/>
        <w:spacing w:before="100" w:after="100"/>
        <w:ind w:start="360"/>
        <w:ind w:firstLine="360"/>
      </w:pPr>
      <w:r>
        <w:rPr/>
      </w:r>
      <w:r>
        <w:rPr/>
      </w:r>
      <w:r>
        <w:t xml:space="preserve">No railroad company may limit the right of a ticket holder to any given train, but the ticket holder may travel on any train, whether regular or express, and may stop at any of the stations along the line of the road at which the trains stop. The ticket shall be good for passage for one year from the day it was first issued. Railroad companies may sell excursion, return or other special tickets at less than the regular rates of fare, to be used only as provided on the ticket.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§5122. Rights of ticket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§5122. Rights of ticket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§5122. RIGHTS OF TICKET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