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§6011. Commissioners' report of damages and rights of parties;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Commissioners' report of damages and rights of parties;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§6011. COMMISSIONERS' REPORT OF DAMAGES AND RIGHTS OF PARTIES;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