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§2164-D. UNFAIR CLAIMS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