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2167-A</w:t>
        <w:t xml:space="preserve">.  </w:t>
      </w:r>
      <w:r>
        <w:rPr>
          <w:b/>
        </w:rPr>
        <w:t xml:space="preserve">Notice to domiciliary supervisory official</w:t>
      </w:r>
    </w:p>
    <w:p>
      <w:pPr>
        <w:jc w:val="both"/>
        <w:spacing w:before="100" w:after="100"/>
        <w:ind w:start="360"/>
        <w:ind w:firstLine="360"/>
      </w:pPr>
      <w:r>
        <w:rPr/>
      </w:r>
      <w:r>
        <w:rPr/>
      </w:r>
      <w:r>
        <w:t xml:space="preserve">Whenever the superintendent has reason to believe that a foreign or alien insurer or licensed insurance professional is acting in violation of this chapter or </w:t>
      </w:r>
      <w:r>
        <w:t>chapter 21</w:t>
      </w:r>
      <w:r>
        <w:t xml:space="preserve">, the superintendent shall notify the insurance supervisory official of that person's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§2167-A. Notice to domiciliary supervisory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§2167-A. Notice to domiciliary supervisory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§2167-A. NOTICE TO DOMICILIARY SUPERVISORY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