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2321-C</w:t>
        <w:t xml:space="preserve">.  </w:t>
      </w:r>
      <w:r>
        <w:rPr>
          <w:b/>
        </w:rPr>
        <w:t xml:space="preserve">Advisory organizations; prohibited activity</w:t>
      </w:r>
    </w:p>
    <w:p>
      <w:pPr>
        <w:jc w:val="both"/>
        <w:spacing w:before="100" w:after="100"/>
        <w:ind w:start="360"/>
        <w:ind w:firstLine="360"/>
      </w:pPr>
      <w:r>
        <w:rPr/>
      </w:r>
      <w:r>
        <w:rPr/>
      </w:r>
      <w:r>
        <w:t xml:space="preserve">In addition to the other prohibitions described in </w:t>
      </w:r>
      <w:r>
        <w:t>section 2321‑B</w:t>
      </w:r>
      <w:r>
        <w:t xml:space="preserve">, except as specifically permitted under </w:t>
      </w:r>
      <w:r>
        <w:t>section 2321‑D</w:t>
      </w:r>
      <w:r>
        <w:t xml:space="preserve">, no advisory organization may compile or distribute recommendations relating to rates that include profit or expenses other than loss adjustment expenses.</w:t>
      </w:r>
      <w:r>
        <w:t xml:space="preserve">  </w:t>
      </w:r>
      <w:r xmlns:wp="http://schemas.openxmlformats.org/drawingml/2010/wordprocessingDrawing" xmlns:w15="http://schemas.microsoft.com/office/word/2012/wordml">
        <w:rPr>
          <w:rFonts w:ascii="Arial" w:hAnsi="Arial" w:cs="Arial"/>
          <w:sz w:val="22"/>
          <w:szCs w:val="22"/>
        </w:rPr>
        <w:t xml:space="preserve">[PL 1989, c. 797, §23 (NEW); PL 1989, c. 797, §§37, 38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797, §§23,37,38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§2321-C. Advisory organizations; prohibited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§2321-C. Advisory organizations; prohibited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§2321-C. ADVISORY ORGANIZATIONS; PROHIBITED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