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Alteration of application, life and health insurance</w:t>
      </w:r>
    </w:p>
    <w:p>
      <w:pPr>
        <w:jc w:val="both"/>
        <w:spacing w:before="100" w:after="100"/>
        <w:ind w:start="360"/>
        <w:ind w:firstLine="360"/>
      </w:pPr>
      <w:r>
        <w:rPr/>
      </w:r>
      <w:r>
        <w:rPr/>
      </w:r>
      <w:r>
        <w:t xml:space="preserve">An alteration of any written application for any life or health insurance policy or annuity contract may not be made by any person other than the applicant without the applicant's written consent, except that insertions may be made by the insurer, for administrative purposes only, in such manner as to indicate clearly that such insertions are not to be ascribed to the applicant.</w:t>
      </w:r>
      <w:r>
        <w:t xml:space="preserve">  </w:t>
      </w:r>
      <w:r xmlns:wp="http://schemas.openxmlformats.org/drawingml/2010/wordprocessingDrawing" xmlns:w15="http://schemas.microsoft.com/office/word/2012/wordml">
        <w:rPr>
          <w:rFonts w:ascii="Arial" w:hAnsi="Arial" w:cs="Arial"/>
          <w:sz w:val="22"/>
          <w:szCs w:val="22"/>
        </w:rPr>
        <w:t xml:space="preserve">[RR 2021, c. 1, Pt. B, §211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Alteration of application, life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§2409. ALTERATION OF APPLICATION, LIFE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