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2693</w:t>
        <w:t xml:space="preserve">.  </w:t>
      </w:r>
      <w:r>
        <w:rPr>
          <w:b/>
        </w:rPr>
        <w:t xml:space="preserve">Standards for policy provisions</w:t>
      </w:r>
    </w:p>
    <w:p>
      <w:pPr>
        <w:jc w:val="both"/>
        <w:spacing w:before="100" w:after="0"/>
        <w:ind w:start="360"/>
        <w:ind w:firstLine="360"/>
      </w:pPr>
      <w:r>
        <w:rPr>
          <w:b/>
        </w:rPr>
        <w:t>1</w:t>
        <w:t xml:space="preserve">.  </w:t>
      </w:r>
      <w:r>
        <w:rPr>
          <w:b/>
        </w:rPr>
        <w:t xml:space="preserve">Rules regarding manner, content and required disclosure.</w:t>
        <w:t xml:space="preserve"> </w:t>
      </w:r>
      <w:r>
        <w:t xml:space="preserve"> </w:t>
      </w:r>
      <w:r>
        <w:t xml:space="preserve">The superintendent may adopt rules to establish specific standards, including standards of full and fair disclosure, that set forth the manner, content and required disclosure for the sale of individual and group health insurance.  The superintendent may adopt additional rules to establish specific standards for the sale of dental plans and vision care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2</w:t>
        <w:t xml:space="preserve">.  </w:t>
      </w:r>
      <w:r>
        <w:rPr>
          <w:b/>
        </w:rPr>
        <w:t xml:space="preserve">Rules regarding prohibited policies or provisions.</w:t>
        <w:t xml:space="preserve"> </w:t>
      </w:r>
      <w:r>
        <w:t xml:space="preserve"> </w:t>
      </w:r>
      <w:r>
        <w:t xml:space="preserve">The superintendent may adopt rules that specify prohibited policies or policy provisions not otherwise specifically authorized by statute that, in the opinion of the superintendent, are unjust, unfair or unfairly discriminatory to the policyholder or a person insured under the policy or to a beneficiary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§2693. Standards for policy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§2693. Standards for policy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§2693. STANDARDS FOR POLICY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