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2719</w:t>
        <w:t xml:space="preserve">.  </w:t>
      </w:r>
      <w:r>
        <w:rPr>
          <w:b/>
        </w:rPr>
        <w:t xml:space="preserve">Change of occupation</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Change of occupation: If the insured be injured or contract sickness after having changed the insured's occupation to one classified by the company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the insured's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 In applying this provision, the classification of occupational risk and the premium rates must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must be those last made effective by the insurer in such state prior to the occurrence of the loss or prior to the date of proof of change in occupation.</w:t>
      </w:r>
      <w:r>
        <w:t xml:space="preserve">  </w:t>
      </w:r>
      <w:r>
        <w:rPr>
          <w:rFonts w:ascii="Arial" w:hAnsi="Arial" w:cs="Arial"/>
          <w:sz w:val="22"/>
          <w:szCs w:val="22"/>
        </w:rPr>
        <w:t xml:space="preserve">[RR 2021, c. 1, Pt. B, §239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§2719. Change of occupation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§2719. Change of occupation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§2719. CHANGE OF OCCUPATION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