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2742‑B,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health insurance policy that offers coverage for a dependent child must offer such coverage, at the option of the policyholder,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policyholder shall furnish proof of a dependent child's disability to the insurer within 31 days of the dependent child's attainment of the limiting age established in </w:t>
      </w:r>
      <w:r>
        <w:t>section 2742‑B,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§2742-C.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