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w:t>
        <w:t xml:space="preserve">.  </w:t>
      </w:r>
      <w:r>
        <w:rPr>
          <w:b/>
        </w:rPr>
        <w:t xml:space="preserve">Newborn children coverage</w:t>
      </w:r>
    </w:p>
    <w:p>
      <w:pPr>
        <w:jc w:val="both"/>
        <w:spacing w:before="100" w:after="100"/>
        <w:ind w:start="360"/>
        <w:ind w:firstLine="360"/>
      </w:pPr>
      <w:r>
        <w:rPr/>
      </w:r>
      <w:r>
        <w:rPr/>
      </w:r>
      <w:r>
        <w:t xml:space="preserve">All individual health insurance policies providing coverage on an expense-incurred basis must provide that health insurance benefits are payable with respect to a newly born child of the insured or subscriber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coverage for newly born children must consist of coverage of injury,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2743‑A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requirements of this section apply to all policies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1995, c. 332, §N2 (AMD). PL 1997, c. 604,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§2743.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