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2902-E</w:t>
        <w:t xml:space="preserve">.  </w:t>
      </w:r>
      <w:r>
        <w:rPr>
          <w:b/>
        </w:rPr>
        <w:t xml:space="preserve">Limitation on surcharge</w:t>
      </w:r>
    </w:p>
    <w:p>
      <w:pPr>
        <w:jc w:val="both"/>
        <w:spacing w:before="100" w:after="100"/>
        <w:ind w:start="360"/>
        <w:ind w:firstLine="360"/>
      </w:pPr>
      <w:r>
        <w:rPr/>
      </w:r>
      <w:r>
        <w:rPr/>
      </w:r>
      <w:r>
        <w:t xml:space="preserve">An insurer may not impose a surcharge or otherwise increase the rate for a motor vehicle insurance policy solely on the basis that the named insured, a member of the insured's household or a person who customarily operates the insured's vehicle has had an operator's license suspended pursuant to </w:t>
      </w:r>
      <w:r>
        <w:t>Title 28‑A, sections 2052</w:t>
      </w:r>
      <w:r>
        <w:t xml:space="preserve"> and </w:t>
      </w:r>
      <w:r>
        <w:t>2053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§62 (RNU). PL 1993, c. 93,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§2902-E. Limitation on surcharge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§2902-E. Limitation on surcharge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§2902-E. LIMITATION ON SURCHARGE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