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w:t>
        <w:t xml:space="preserve">.  </w:t>
      </w:r>
      <w:r>
        <w:rPr>
          <w:b/>
        </w:rPr>
        <w:t xml:space="preserve">Rulemaking</w:t>
      </w:r>
    </w:p>
    <w:p>
      <w:pPr>
        <w:jc w:val="both"/>
        <w:spacing w:before="100" w:after="100"/>
        <w:ind w:start="360"/>
        <w:ind w:firstLine="360"/>
      </w:pPr>
      <w:r>
        <w:rPr/>
      </w:r>
      <w:r>
        <w:rPr/>
      </w:r>
      <w:r>
        <w:t xml:space="preserve">The superintendent may adopt rules, which are routine technical rules pursuant to </w:t>
      </w:r>
      <w:r>
        <w:t>Title 5, chapter 375, subchapter II‑A</w:t>
      </w:r>
      <w:r>
        <w:t xml:space="preserve">, establishing specific requirements and procedures for group property and casualty policies, certificates of coverage and rates, consistent with the purposes of this chapter.  These rules may specify additional types of insurance that may be issued on a group basis and the types of groups that may be policyholders, if the superintendent determines that the issuance of multiple individual policies to group members in accordance with </w:t>
      </w:r>
      <w:r>
        <w:t>chapter 40</w:t>
      </w:r>
      <w:r>
        <w:t xml:space="preserve"> does not adequately address the needs of the market.</w:t>
      </w:r>
      <w:r>
        <w:t xml:space="preserve">  </w:t>
      </w:r>
      <w:r xmlns:wp="http://schemas.openxmlformats.org/drawingml/2010/wordprocessingDrawing" xmlns:w15="http://schemas.microsoft.com/office/word/2012/wordml">
        <w:rPr>
          <w:rFonts w:ascii="Arial" w:hAnsi="Arial" w:cs="Arial"/>
          <w:sz w:val="22"/>
          <w:szCs w:val="22"/>
        </w:rPr>
        <w:t xml:space="preserve">[PL 2001, c. 138,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§2953.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§2953.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