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Corporate powers retained</w:t>
      </w:r>
    </w:p>
    <w:p>
      <w:pPr>
        <w:jc w:val="both"/>
        <w:spacing w:before="100" w:after="100"/>
        <w:ind w:start="360"/>
        <w:ind w:firstLine="360"/>
      </w:pPr>
      <w:r>
        <w:rPr/>
      </w:r>
      <w:r>
        <w:rPr/>
      </w:r>
      <w:r>
        <w:t xml:space="preserve">Any incorporated society authorized to transact business in this State at the time this chapter becomes effective may thereafter exercise all the rights, powers and privileges prescribed in this chapter and in its charter or articles of incorporation as far as consistent with this chapter. A domestic society shall not be required to reincorporate.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§4105. Corporate powers retained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Corporate powers retained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§4105. CORPORATE POWERS RETAINED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