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Every health maintenance organization subject to this chapter shall pay to the superintendent the following fees:</w:t>
      </w:r>
    </w:p>
    <w:p>
      <w:pPr>
        <w:jc w:val="both"/>
        <w:spacing w:before="100" w:after="0"/>
        <w:ind w:start="720"/>
      </w:pPr>
      <w:r>
        <w:rPr/>
        <w:t>A</w:t>
        <w:t xml:space="preserve">.  </w:t>
      </w:r>
      <w:r>
        <w:rPr/>
      </w:r>
      <w:r>
        <w:t xml:space="preserve">For filing an initial application for a certificate of authority, $500;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For filing each annual report, $50.</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Fees charged under this section shall be distributed as follows: 50% to the superintendent and 50% to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