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4234-C</w:t>
        <w:t xml:space="preserve">.  </w:t>
      </w:r>
      <w:r>
        <w:rPr>
          <w:b/>
        </w:rPr>
        <w:t xml:space="preserve">Newborn children coverage</w:t>
      </w:r>
    </w:p>
    <w:p>
      <w:pPr>
        <w:jc w:val="both"/>
        <w:spacing w:before="100" w:after="100"/>
        <w:ind w:start="360"/>
        <w:ind w:firstLine="360"/>
      </w:pPr>
      <w:r>
        <w:rPr/>
      </w:r>
      <w:r>
        <w:rPr/>
      </w:r>
      <w:r>
        <w:t xml:space="preserve">All individual and group health maintenance organization contracts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If payment of a specific premium or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4234‑B</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w:pPr>
        <w:jc w:val="both"/>
        <w:spacing w:before="100" w:after="100"/>
        <w:ind w:start="360"/>
        <w:ind w:firstLine="360"/>
      </w:pPr>
      <w:r>
        <w:rPr/>
      </w:r>
      <w:r>
        <w:rPr/>
      </w:r>
      <w:r>
        <w:t xml:space="preserve">The requirements of this section apply to all contracts delivered or issued for delivery in this State on  or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§C4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§4234-C. Newborn children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§4234-C. Newborn children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§4234-C. NEWBORN CHILDREN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