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4352</w:t>
        <w:t xml:space="preserve">.  </w:t>
      </w:r>
      <w:r>
        <w:rPr>
          <w:b/>
        </w:rPr>
        <w:t xml:space="preserve">Short title</w:t>
      </w:r>
    </w:p>
    <w:p>
      <w:pPr>
        <w:jc w:val="both"/>
        <w:spacing w:before="100" w:after="100"/>
        <w:ind w:start="360"/>
        <w:ind w:firstLine="360"/>
      </w:pPr>
      <w:r>
        <w:rPr/>
      </w:r>
      <w:r>
        <w:rPr/>
      </w:r>
      <w:r>
        <w:t xml:space="preserve">This chapter constitutes and may be cited as the "Insurance Rehabilitation and Liquidation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§4352.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§4352.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§4352.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