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Grounds for ancillary liquidation, foreign and alien insurers</w:t>
      </w:r>
    </w:p>
    <w:p>
      <w:pPr>
        <w:jc w:val="both"/>
        <w:spacing w:before="100" w:after="100"/>
        <w:ind w:start="360"/>
        <w:ind w:firstLine="360"/>
      </w:pPr>
      <w:r>
        <w:rPr/>
      </w:r>
      <w:r>
        <w:rPr/>
      </w:r>
      <w:r>
        <w:t xml:space="preserve">The superintendent may apply to the court for an order appointing the superintendent to liquidate the business of a foreign or alien insurer having assets, business or claims in this State upon the appointment in the domiciliary sovereignty of such insurer of a receiver, liquidator, conservator, rehabilitator or other officer by whatever name called for the purpose of liquidating the business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§4359. Grounds for ancillary liquidation, foreign and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Grounds for ancillary liquidation, foreign and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§4359. GROUNDS FOR ANCILLARY LIQUIDATION, FOREIGN AND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