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4447</w:t>
        <w:t xml:space="preserve">.  </w:t>
      </w:r>
      <w:r>
        <w:rPr>
          <w:b/>
        </w:rPr>
        <w:t xml:space="preserve">Recognition of assessment in rates</w:t>
      </w:r>
    </w:p>
    <w:p>
      <w:pPr>
        <w:jc w:val="both"/>
        <w:spacing w:before="100" w:after="100"/>
        <w:ind w:start="360"/>
        <w:ind w:firstLine="360"/>
      </w:pPr>
      <w:r>
        <w:rPr/>
      </w:r>
      <w:r>
        <w:rPr/>
      </w:r>
      <w:r>
        <w:t xml:space="preserve">The rates and premiums charged for insurance policies to which this subchapter applies shall include amounts sufficient to recoup a sum equal to the amounts paid to the association by the member insurer less any amounts returned to the member insurer by the association, and such rates shall not be deemed excessive because they contain an amount reasonably calculated to recoup assessments paid by the member insurer.</w:t>
      </w:r>
      <w:r>
        <w:t xml:space="preserve">  </w:t>
      </w:r>
      <w:r xmlns:wp="http://schemas.openxmlformats.org/drawingml/2010/wordprocessingDrawing" xmlns:w15="http://schemas.microsoft.com/office/word/2012/wordml">
        <w:rPr>
          <w:rFonts w:ascii="Arial" w:hAnsi="Arial" w:cs="Arial"/>
          <w:sz w:val="22"/>
          <w:szCs w:val="22"/>
        </w:rPr>
        <w:t xml:space="preserve">[PL 1969, c. 561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561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§4447. Recognition of assessment in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§4447. Recognition of assessment in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§4447. RECOGNITION OF ASSESSMENT IN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