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Annual guaranteed issue period</w:t>
      </w:r>
    </w:p>
    <w:p>
      <w:pPr>
        <w:jc w:val="both"/>
        <w:spacing w:before="100" w:after="100"/>
        <w:ind w:start="360"/>
        <w:ind w:firstLine="360"/>
      </w:pPr>
      <w:r>
        <w:rPr/>
      </w:r>
      <w:r>
        <w:rPr/>
      </w:r>
      <w:r>
        <w:t xml:space="preserve">During a guaranteed issue period of at least one month each calendar year, as established by the issuer, every issuer shall offer standardized Medicare Supplement Plan A, as defined by rule, to all applicants on a basis that does not deny coverage to any individual or group based on health status, claims experience, receipt of health care, or medical condition.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 Annual guaranteed issue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Annual guaranteed issue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§5012. ANNUAL GUARANTEED ISSUE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