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6403</w:t>
        <w:t xml:space="preserve">.  </w:t>
      </w:r>
      <w:r>
        <w:rPr>
          <w:b/>
        </w:rPr>
        <w:t xml:space="preserve">Applicability</w:t>
      </w:r>
    </w:p>
    <w:p>
      <w:pPr>
        <w:jc w:val="both"/>
        <w:spacing w:before="100" w:after="100"/>
        <w:ind w:start="360"/>
        <w:ind w:firstLine="360"/>
      </w:pPr>
      <w:r>
        <w:rPr/>
      </w:r>
      <w:r>
        <w:rPr/>
      </w:r>
      <w:r>
        <w:t xml:space="preserve">This chapter applies to licensed property or casualty insurers, either domiciled in this State or domiciled in a state that is not an accredited state with a substantially similar law in effect.  </w:t>
      </w:r>
      <w:r>
        <w:t>Section 222</w:t>
      </w:r>
      <w:r>
        <w:t xml:space="preserve">, to the extent not modified by this chapter, continues to apply to all parties within holding company systems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169, Pt. E,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 PL 2017, c. 169, Pt. E,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§6403.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