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TRADE PRACTICES;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25. TRADE PRACTICES;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