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§2301-A. Continuity of licensure;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§2301-A. CONTINUITY OF LICENSURE;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