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DEPARTMENT OF PUBLIC SAFETY</w:t>
      </w:r>
    </w:p>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351.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351.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