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DISPOSAL OF UNCLAIMED, LOST OR STOLEN PERSONAL PROPERTY BY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401. DISPOSAL OF UNCLAIMED, LOST OR STOLEN PERSONAL PROPERTY BY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