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451</w:t>
      </w:r>
    </w:p>
    <w:p>
      <w:pPr>
        <w:jc w:val="center"/>
        <w:ind w:start="360"/>
        <w:spacing w:before="300" w:after="300"/>
      </w:pPr>
      <w:r>
        <w:rPr>
          <w:b/>
        </w:rPr>
        <w:t xml:space="preserve">BUREAU OF LIQUOR ENFORCEMENT</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1993, c. 730, §§2,3 (AMD). PL 1997, c. 373, §9 (AMD). PL 2003, c. 451, §T6 (RP). </w:t>
      </w:r>
    </w:p>
    <w:p>
      <w:pPr>
        <w:jc w:val="both"/>
        <w:spacing w:before="100" w:after="100"/>
        <w:ind w:start="1080" w:hanging="720"/>
      </w:pPr>
      <w:r>
        <w:rPr>
          <w:b/>
        </w:rPr>
        <w:t>§</w:t>
        <w:t>3902</w:t>
        <w:t xml:space="preserve">.  </w:t>
      </w:r>
      <w:r>
        <w:rPr>
          <w:b/>
        </w:rPr>
        <w:t xml:space="preserve">Enforcement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1995, c. 65, §A78 (AMD). PL 1995, c. 65, §§A153,C15 (AFF). PL 2003, c. 451, §T6 (RP). IB 2003, c. 1, §7 (AMD). PL 2003, c. 687, §B7 (AMD).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451.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451.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451.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