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§§50-52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Mutual aid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Mutual aid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§1672. MUTUAL AID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