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2449</w:t>
        <w:t xml:space="preserve">.  </w:t>
      </w:r>
      <w:r>
        <w:rPr>
          <w:b/>
        </w:rPr>
        <w:t xml:space="preserve">Penalty</w:t>
      </w:r>
    </w:p>
    <w:p>
      <w:pPr>
        <w:jc w:val="both"/>
        <w:spacing w:before="100" w:after="100"/>
        <w:ind w:start="360"/>
        <w:ind w:firstLine="360"/>
      </w:pPr>
      <w:r>
        <w:rPr/>
      </w:r>
      <w:r>
        <w:rPr/>
      </w:r>
      <w:r>
        <w:t xml:space="preserve">Whoever violates the provisions of </w:t>
      </w:r>
      <w:r>
        <w:t>section 2448</w:t>
      </w:r>
      <w:r>
        <w:t xml:space="preserve"> shall be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1979, c. 208,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242, §2 (AMD). PL 1975, c. 293, §4 (AMD). PL 1979, c. 208, §2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§2449.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§2449.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§2449.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