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extreme risk protection orders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§8 (AMD).]</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PL 2023, c. 675,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§2804-C. Basic law enforcement training; core curriculum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§2804-C. Basic law enforcement training; core curriculum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§2804-C. BASIC LAW ENFORCEMENT TRAINING; CORE CURRICULUM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