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2804-G</w:t>
        <w:t xml:space="preserve">.  </w:t>
      </w:r>
      <w:r>
        <w:rPr>
          <w:b/>
        </w:rPr>
        <w:t xml:space="preserve">Qualifications</w:t>
      </w:r>
    </w:p>
    <w:p>
      <w:pPr>
        <w:jc w:val="both"/>
        <w:spacing w:before="100" w:after="0"/>
        <w:ind w:start="360"/>
        <w:ind w:firstLine="360"/>
      </w:pPr>
      <w:r>
        <w:rPr>
          <w:b/>
        </w:rPr>
        <w:t>1</w:t>
        <w:t xml:space="preserve">.  </w:t>
      </w:r>
      <w:r>
        <w:rPr>
          <w:b/>
        </w:rPr>
        <w:t xml:space="preserve">Age.</w:t>
        <w:t xml:space="preserve"> </w:t>
      </w:r>
      <w:r>
        <w:t xml:space="preserve"> </w:t>
      </w:r>
      <w:r>
        <w:t xml:space="preserve">An applicant must be 21 years of age or older to qualify for a position as a law enforcement officer unless the applicant has an associate's degree or 60 credit hours of postsecondary education, in which case the applicant must be at least 20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§2804-G.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§2804-G.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§2804-G.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