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2806-A</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the complaint review committee, established pursuant to </w:t>
      </w:r>
      <w:r>
        <w:t>section 2805‑C</w:t>
      </w:r>
      <w:r>
        <w:t xml:space="preserve">, or staff, shall investigate a complaint on its own motion or upon receipt of a written complaint filed with the board regarding noncompliance with or violation of this chapter or of any rules adopted by the board.  Investigation may include an informal conference before the complaint review committee to determine whether grounds exist for suspension, revocation or denial of a certificate or for taking other disciplinary action pursuant to this chapter.  The board, the complaint review committee or staff may subpoena witnesses, records and documents in any investigation or hearing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2</w:t>
        <w:t xml:space="preserve">.  </w:t>
      </w:r>
      <w:r>
        <w:rPr>
          <w:b/>
        </w:rPr>
        <w:t xml:space="preserve">Notice.</w:t>
        <w:t xml:space="preserve"> </w:t>
      </w:r>
      <w:r>
        <w:t xml:space="preserve"> </w:t>
      </w:r>
      <w:r>
        <w:t xml:space="preserve">The board or, as delegated, the complaint review committee, established pursuant to </w:t>
      </w:r>
      <w:r>
        <w:t>section 2805‑C</w:t>
      </w:r>
      <w:r>
        <w:t xml:space="preserve">, or staff, shall notify the certificate holder of the content of a complaint filed against the certificate holder as soon as possible, but in no event later than 60 days after the board or staff receives the initial pertinent information.  The certificate holder has the right to respond within 30 days in all cases except those involving an emergency denial, suspension or revocation, as described in </w:t>
      </w:r>
      <w:r>
        <w:t>Title 5, chapter 375, subchapter 5</w:t>
      </w:r>
      <w:r>
        <w:t xml:space="preserve">.  If the certificate holder's response to the complaint satisfies the board, the complaint review committee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the complaint review committee, established pursuant to </w:t>
      </w:r>
      <w:r>
        <w:t>section 2805‑C</w:t>
      </w:r>
      <w:r>
        <w:t xml:space="preserve">, or staff, the factual basis of the complaint is or may be true and the complaint is of sufficient gravity to warrant further action, the board or staff may request an informal conference with the certificate holder.  The complaint review committee or staff shall provide the certificate holder with adequate notice of the conference and of the issues to be discussed.  The certificate holder may, without prejudice, refuse to participate in an informal conference if the certificate holder prefers to request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or the complaint review committee, established pursuant to </w:t>
      </w:r>
      <w:r>
        <w:t>section 2805‑C</w:t>
      </w:r>
      <w:r>
        <w:t xml:space="preserve">,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the complaint review committee or staff may negotiate a consent agreement that resolves a complaint or investigation without further proceedings.  Consent agreements may be entered into only with the consent of the certificate holder and the board.  Any remedy, penalty or fine that is otherwise available by law, even if only in the jurisdiction of the Superior Court, may be achieved by consent agreement, including long-term suspension and permanent revocation of a certificate issued under this chapter.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If a certificate holder offers to voluntarily surrender a certificate, the board, the complaint review committee or staff may negotiate stipulations necessary to ensure protection of the public health and safety and the rehabilitation or education of the certificate holder.  These stipulations may be set forth only in a consent agreement entered into between the board and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Unless specifically otherwise indicated in this chapter, if the board concludes that modification, suspension, revocation or imposition of any other sanction authorized under this chapter is in order, the board shall so notify the certificate holder and inform the certificate holder of the right to request an adjudicatory hearing.  If the certificate holder requests an adjudicatory hearing in a timely manner, the adjudicatory hearing must be held by the board, a subcommittee of 3 board members designated by the board chair or a hearing officer appointed by the board.  The hearing must be in accordance with </w:t>
      </w:r>
      <w:r>
        <w:t>Title 5, chapter 375, subchapter 4</w:t>
      </w:r>
      <w:r>
        <w:t xml:space="preserve">.  If a hearing officer conducts the hearing, the hearing officer, after conducting the hearing, shall file with the board all papers connected with the case and report recommended findings and sanctions to the board, which may approve or modify them.  If the certificate holder wishes to appeal the final decision of the board, the certificate holder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5</w:t>
        <w:t xml:space="preserve">.  </w:t>
      </w:r>
      <w:r>
        <w:rPr>
          <w:b/>
        </w:rPr>
        <w:t xml:space="preserve">Grounds for action.</w:t>
        <w:t xml:space="preserve"> </w:t>
      </w:r>
      <w:r>
        <w:t xml:space="preserve"> </w:t>
      </w:r>
      <w:r>
        <w:t xml:space="preserve">The board may take action against any applicant for a certificate or certificate holder pursuant to this chapter or any rules adopted pursuant to this chapter, including, but not limited to, a decision to impose a civil penalty or to refuse to issue a certificate or to modify, suspend or revoke a certificate for any of the following reasons:</w:t>
      </w:r>
    </w:p>
    <w:p>
      <w:pPr>
        <w:jc w:val="both"/>
        <w:spacing w:before="100" w:after="0"/>
        <w:ind w:start="720"/>
      </w:pPr>
      <w:r>
        <w:rPr/>
        <w:t>A</w:t>
        <w:t xml:space="preserve">.  </w:t>
      </w:r>
      <w:r>
        <w:rPr/>
      </w:r>
      <w:r>
        <w:t xml:space="preserve">Failure to meet annual certification or recertification requirements.  In enforcing this paragraph, the board shall, no later than March 31st of every year, review the certification of all law enforcement and corrections officers and decertify those individuals who do not meet certification or recertification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Absent extenuating circumstances as determined by the board, working more than 1,040 hours in any one calendar year as a part-time law enforcement officer performing law enforcement duties and while possessing a part-time law enforcement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Conviction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Juvenile adjudication of murder or any crime or attempted crime classified in state law as a Class A, Class B, Class C or Class D crime;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Guilty plea pursuant to a deferred disposition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Engaging in conduct that is prohibited or penalized by state law as murder or a Class A, Class B, Class C or Class D crime or by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G</w:t>
        <w:t xml:space="preserve">.  </w:t>
      </w:r>
      <w:r>
        <w:rPr/>
      </w:r>
      <w:r>
        <w:t xml:space="preserve">Conviction of or adjudication as a juvenile of a crime specified in </w:t>
      </w:r>
      <w:r>
        <w:t>paragraph D</w:t>
      </w:r>
      <w:r>
        <w:t xml:space="preserve"> in another state or other jurisdiction, unless that crime is not punishable as a crime under the laws of that state or other jurisdiction in which it occurred.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H</w:t>
        <w:t xml:space="preserve">.  </w:t>
      </w:r>
      <w:r>
        <w:rPr/>
      </w:r>
      <w:r>
        <w:t xml:space="preserve">Engaging in conduct specified in </w:t>
      </w:r>
      <w:r>
        <w:t>paragraphs C</w:t>
      </w:r>
      <w:r>
        <w:t xml:space="preserve"> and </w:t>
      </w:r>
      <w:r>
        <w:t>D</w:t>
      </w:r>
      <w:r>
        <w:t xml:space="preserve"> in another state or other jurisdiction unless that conduct is not punishable as a crime under the laws of that state or other jurisdiction in which it occurred;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I</w:t>
        <w:t xml:space="preserve">.  </w:t>
      </w:r>
      <w:r>
        <w:rPr/>
      </w:r>
      <w:r>
        <w:t xml:space="preserve">Falsifying or misrepresenting material facts in obtaining or maintaining a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J</w:t>
        <w:t xml:space="preserve">.  </w:t>
      </w:r>
      <w:r>
        <w:rPr/>
      </w:r>
      <w:r>
        <w:t xml:space="preserve">Engaging in conduct that violates the standards established by the board and that when viewed in light of the nature and purpose of the person's conduct and circumstances known to the person, involves a gross deviation from the standard of conduct that a reasonable and prudent certificate holder would observe in the same or similar situation;</w:t>
      </w:r>
      <w:r>
        <w:t xml:space="preserve">  </w:t>
      </w:r>
      <w:r xmlns:wp="http://schemas.openxmlformats.org/drawingml/2010/wordprocessingDrawing" xmlns:w15="http://schemas.microsoft.com/office/word/2012/wordml">
        <w:rPr>
          <w:rFonts w:ascii="Arial" w:hAnsi="Arial" w:cs="Arial"/>
          <w:sz w:val="22"/>
          <w:szCs w:val="22"/>
        </w:rPr>
        <w:t xml:space="preserve">[PL 2019, c. 438, §5 (AMD).]</w:t>
      </w:r>
    </w:p>
    <w:p>
      <w:pPr>
        <w:jc w:val="both"/>
        <w:spacing w:before="100" w:after="0"/>
        <w:ind w:start="720"/>
      </w:pPr>
      <w:r>
        <w:rPr/>
        <w:t>K</w:t>
        <w:t xml:space="preserve">.  </w:t>
      </w:r>
      <w:r>
        <w:rPr/>
      </w:r>
      <w:r>
        <w:t xml:space="preserve">Engaging in a sexual act, as defined in </w:t>
      </w:r>
      <w:r>
        <w:t>Title 17‑A, section 251, subsection 1, paragraph C</w:t>
      </w:r>
      <w:r>
        <w:t xml:space="preserve">, or in sexual contact, as defined in </w:t>
      </w:r>
      <w:r>
        <w:t>Title 17‑A, section 251, subsection 1, paragraph D</w:t>
      </w:r>
      <w:r>
        <w:t xml:space="preserve">, with another person, not the person's spouse, if at the time of the sexual act or sexual contact:</w:t>
      </w:r>
    </w:p>
    <w:p>
      <w:pPr>
        <w:jc w:val="both"/>
        <w:spacing w:before="100" w:after="0"/>
        <w:ind w:start="1080"/>
      </w:pPr>
      <w:r>
        <w:rPr/>
        <w:t>(</w:t>
        <w:t>1</w:t>
        <w:t xml:space="preserve">)  </w:t>
      </w:r>
      <w:r>
        <w:rPr/>
      </w:r>
      <w:r>
        <w:t xml:space="preserve">The officer was engaged in an investigation or purported investigation involving an allegation of abuse, as defined in former Title 19, section 762, subsection 1, in </w:t>
      </w:r>
      <w:r>
        <w:t>Title 19‑A</w:t>
      </w:r>
      <w:r>
        <w:t xml:space="preserve">, former section 4002, subsection 1 and in </w:t>
      </w:r>
      <w:r>
        <w:t>Title 19‑A, section 4102, subsection 1</w:t>
      </w:r>
      <w:r>
        <w:t xml:space="preserve">;</w:t>
      </w:r>
    </w:p>
    <w:p>
      <w:pPr>
        <w:jc w:val="both"/>
        <w:spacing w:before="100" w:after="0"/>
        <w:ind w:start="1080"/>
      </w:pPr>
      <w:r>
        <w:rPr/>
        <w:t>(</w:t>
        <w:t>2</w:t>
        <w:t xml:space="preserve">)  </w:t>
      </w:r>
      <w:r>
        <w:rPr/>
      </w:r>
      <w:r>
        <w:t xml:space="preserve">The other person was the alleged victim of that abuse;</w:t>
      </w:r>
    </w:p>
    <w:p>
      <w:pPr>
        <w:jc w:val="both"/>
        <w:spacing w:before="100" w:after="0"/>
        <w:ind w:start="1080"/>
      </w:pPr>
      <w:r>
        <w:rPr/>
        <w:t>(</w:t>
        <w:t>3</w:t>
        <w:t xml:space="preserve">)  </w:t>
      </w:r>
      <w:r>
        <w:rPr/>
      </w:r>
      <w:r>
        <w:t xml:space="preserve">The parties did not have a preexisting and ongoing sexual relationship that included engaging in any sexual act or sexual contact; and</w:t>
      </w:r>
    </w:p>
    <w:p>
      <w:pPr>
        <w:jc w:val="both"/>
        <w:spacing w:before="100" w:after="0"/>
        <w:ind w:start="1080"/>
      </w:pPr>
      <w:r>
        <w:rPr/>
        <w:t>(</w:t>
        <w:t>4</w:t>
        <w:t xml:space="preserve">)  </w:t>
      </w:r>
      <w:r>
        <w:rPr/>
      </w:r>
      <w:r>
        <w:t xml:space="preserve">Less than 60 days had elapsed since the officer initially became involved in the investigation or purported investigation;</w:t>
      </w:r>
      <w:r>
        <w:t xml:space="preserve">  </w:t>
      </w:r>
      <w:r xmlns:wp="http://schemas.openxmlformats.org/drawingml/2010/wordprocessingDrawing" xmlns:w15="http://schemas.microsoft.com/office/word/2012/wordml">
        <w:rPr>
          <w:rFonts w:ascii="Arial" w:hAnsi="Arial" w:cs="Arial"/>
          <w:sz w:val="22"/>
          <w:szCs w:val="22"/>
        </w:rPr>
        <w:t xml:space="preserve">[PL 2021, c. 255, §2 (AMD); PL 2021, c. 647, Pt. B, §58 (AMD); PL 2021, c. 647, Pt. B, §65 (AFF).]</w:t>
      </w:r>
    </w:p>
    <w:p>
      <w:pPr>
        <w:jc w:val="both"/>
        <w:spacing w:before="100" w:after="0"/>
        <w:ind w:start="720"/>
      </w:pPr>
      <w:r>
        <w:rPr/>
        <w:t>L</w:t>
        <w:t xml:space="preserve">.  </w:t>
      </w:r>
      <w:r>
        <w:rPr/>
      </w:r>
      <w:r>
        <w:t xml:space="preserve">Engaging in sexual contact, as defined in </w:t>
      </w:r>
      <w:r>
        <w:t>Title 17‑A, section 251, subsection 1, paragraph D</w:t>
      </w:r>
      <w:r>
        <w:t xml:space="preserve">, with another person, not the person's spouse, if at the time of the sexual contact the applicant or certificate holder is acting in performance of official duties and the other person is under arrest, in custody or being interrogated or temporarily detained, including during a traffic stop or questioning pursuant to an investigation of a crime, except that it is not grounds for discipline that a certificate holder properly performs a search of a person for legitimate law enforcement purposes consistent with training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255, §3 (AMD).]</w:t>
      </w:r>
    </w:p>
    <w:p>
      <w:pPr>
        <w:jc w:val="both"/>
        <w:spacing w:before="100" w:after="0"/>
        <w:ind w:start="720"/>
      </w:pPr>
      <w:r>
        <w:rPr/>
        <w:t>M</w:t>
        <w:t xml:space="preserve">.  </w:t>
      </w:r>
      <w:r>
        <w:rPr/>
      </w:r>
      <w:r>
        <w:t xml:space="preserve">Engaging in conduct that is a violation of the standards of conduct established by the board by rule pursuant to </w:t>
      </w:r>
      <w:r>
        <w:t>section 2803‑A,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§§2-4 (AMD); PL 2021, c. 647, Pt. B, §58 (AMD); PL 2021, c. 647, Pt. B, §65 (AFF).]</w:t>
      </w:r>
    </w:p>
    <w:p>
      <w:pPr>
        <w:jc w:val="both"/>
        <w:spacing w:before="100" w:after="100"/>
        <w:ind w:start="360"/>
        <w:ind w:firstLine="360"/>
      </w:pPr>
      <w:r>
        <w:rPr>
          <w:b/>
        </w:rPr>
        <w:t>6</w:t>
        <w:t xml:space="preserve">.  </w:t>
      </w:r>
      <w:r>
        <w:rPr>
          <w:b/>
        </w:rPr>
        <w:t xml:space="preserve">Discipline.</w:t>
        <w:t xml:space="preserve"> </w:t>
      </w:r>
      <w:r>
        <w:t xml:space="preserve"> </w:t>
      </w:r>
      <w:r>
        <w:t xml:space="preserve">The board may impose the following forms of discipline upon a certificate holder or applicant for a certificate:</w:t>
      </w:r>
    </w:p>
    <w:p>
      <w:pPr>
        <w:jc w:val="both"/>
        <w:spacing w:before="100" w:after="0"/>
        <w:ind w:start="720"/>
      </w:pPr>
      <w:r>
        <w:rPr/>
        <w:t>A</w:t>
        <w:t xml:space="preserve">.  </w:t>
      </w:r>
      <w:r>
        <w:rPr/>
      </w:r>
      <w:r>
        <w:t xml:space="preserve">Denial of an application for a certificate, which may occur in conjunction with the imposition of other discipline;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Issuance of warning, censure or reprimand. Each warning, censure or reprimand issued must be based upon violation of a single applicable law, rule or condition of certification or must be based upon a single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Suspension of a certificate for up to 3 years.  Execution of all or any portion of a term of suspension may be stayed pending successful completion of conditions of probation, although the suspension remains part of the certificate holder's record;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Revocation of a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Imposition of civil penalties of up to $1,500 for each violation of applicable laws, rules or conditions of certification or for each instance of actionable conduct or activity; or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Imposition of conditions of probation.  Probation may run for such time period as the board determines appropriate. Probation may include conditions such as: additional continuing education; medical, psychiatric or mental health consultations or evaluations; mandatory professional supervision of the applicant or certificate holder; restrictions; and other conditions as the board determines appropriate. Costs incurred in the performance of terms of probation are borne by the applicant or certificate holder.  Failure to comply with the conditions of probation is a ground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7</w:t>
        <w:t xml:space="preserve">.  </w:t>
      </w:r>
      <w:r>
        <w:rPr>
          <w:b/>
        </w:rPr>
        <w:t xml:space="preserve">Letter of guidance.</w:t>
        <w:t xml:space="preserve"> </w:t>
      </w:r>
      <w:r>
        <w:t xml:space="preserve"> </w:t>
      </w:r>
      <w:r>
        <w:t xml:space="preserve">The board may issue a letter of guidance or concern to a certificate holder.  A letter of guidance or concern may be used to educate, reinforce knowledge regarding legal or professional obligations or express concern over action or inaction by the certificate holder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certificate holder's file for a specified period of time, not to exceed 10 years.  Any letters, complaints and materials placed on file may be accessed and considered by the board in any subsequent action commenced against the certificate holder within the specified time frame.  Complaints, reports and investigation materials placed on file remain confidential to the extent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8</w:t>
        <w:t xml:space="preserve">.  </w:t>
      </w:r>
      <w:r>
        <w:rPr>
          <w:b/>
        </w:rPr>
        <w:t xml:space="preserve">Injunction.</w:t>
        <w:t xml:space="preserve"> </w:t>
      </w:r>
      <w:r>
        <w:t xml:space="preserve"> </w:t>
      </w:r>
      <w:r>
        <w:t xml:space="preserve">The State may bring an action in Superior Court to enjoin a person from violating any provision of this chapter, regardless of whether civil or administrative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9</w:t>
        <w:t xml:space="preserve">.  </w:t>
      </w:r>
      <w:r>
        <w:rPr>
          <w:b/>
        </w:rPr>
        <w:t xml:space="preserve">Recertification.</w:t>
        <w:t xml:space="preserve"> </w:t>
      </w:r>
      <w:r>
        <w:t xml:space="preserve"> </w:t>
      </w:r>
      <w:r>
        <w:t xml:space="preserve">A person whose certificate has been revoked under this chapter may apply to the board for reinstatement of certification if:</w:t>
      </w:r>
    </w:p>
    <w:p>
      <w:pPr>
        <w:jc w:val="both"/>
        <w:spacing w:before="100" w:after="0"/>
        <w:ind w:start="720"/>
      </w:pPr>
      <w:r>
        <w:rPr/>
        <w:t>A</w:t>
        <w:t xml:space="preserve">.  </w:t>
      </w:r>
      <w:r>
        <w:rPr/>
      </w:r>
      <w:r>
        <w:t xml:space="preserve">The certificate was revoked for a cause other than engaging in conduct that is prohibited or penalized by state law as murder or as a Class A, Class B or Class C crime or for equivalent conduct in another state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At least 3 years have elapsed since revocation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A law enforcement or corrections agency has indicated a commitment to hire the individual if the individual is recertified.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360"/>
      </w:pPr>
      <w:r>
        <w:rPr/>
      </w:r>
      <w:r>
        <w:rPr/>
      </w:r>
      <w:r>
        <w:t xml:space="preserve">The granting of recertification under this subsection is governed by Maine Criminal Justice Academy rules relating to certification.  The individual is subject to all training requirements applicable to persons whose certification has lapsed.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10</w:t>
        <w:t xml:space="preserve">.  </w:t>
      </w:r>
      <w:r>
        <w:rPr>
          <w:b/>
        </w:rPr>
        <w:t xml:space="preserve">Confidentiality; access to documents; public records.</w:t>
        <w:t xml:space="preserve"> </w:t>
      </w:r>
      <w:r>
        <w:t xml:space="preserve"> </w:t>
      </w:r>
      <w:r>
        <w:t xml:space="preserve">All complaints, charges or accusations of misconduct, replies to those complaints, charges or accusations and any other information or materials that may result in suspension or revocation of a certificate that are considered by the board or the complaint review committee established pursuant to </w:t>
      </w:r>
      <w:r>
        <w:t>section 2805‑C</w:t>
      </w:r>
      <w:r>
        <w:t xml:space="preserve"> are confidential.  If a person subject to this chapter requests an adjudicatory hearing under the Maine Administrative Procedure Act, that hearing must be open to the public.  The hearing officer who presides over the hearing shall issue a written decision that states the conduct or other facts on the basis of which action is being taken and the reason for that action.  Once issued, the hearing officer's written decision is a public record under the Freedom of Access Act, regardless of whether it is appealed. Any action taken by the board pursuant to this section as a result of a complaint, charge or accusation must be supported by a statement of findings and must be issued as a written decision of the board.  The written decision of the board and findings are public records under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 PL 2019, c. 438, §§5, 6 (AMD). PL 2021, c. 255, §§2-5 (AMD). PL 2021, c. 647, Pt. B, §58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§2806-A. Disciplinary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§2806-A. Disciplinary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§2806-A. DISCIPLINARY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