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2918</w:t>
        <w:t xml:space="preserve">.  </w:t>
      </w:r>
      <w:r>
        <w:rPr>
          <w:b/>
        </w:rPr>
        <w:t xml:space="preserve">Vehicle emissions goals</w:t>
      </w:r>
    </w:p>
    <w:p>
      <w:pPr>
        <w:jc w:val="both"/>
        <w:spacing w:before="100" w:after="100"/>
        <w:ind w:start="360"/>
        <w:ind w:firstLine="360"/>
      </w:pPr>
      <w:r>
        <w:rPr/>
      </w:r>
      <w:r>
        <w:rPr/>
      </w:r>
      <w:r>
        <w:t xml:space="preserve">The Department of Public Safety in acquiring and managing light-duty motor vehicles shall do so in accordance with </w:t>
      </w:r>
      <w:r>
        <w:t>Title 5, section 1830,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693,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§2918. Vehicle emissions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§2918. Vehicle emissions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§2918. VEHICLE EMISSIONS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